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6950C" w14:textId="6D3A5C59" w:rsidR="009B48AF" w:rsidRPr="009B48AF" w:rsidRDefault="009B48AF" w:rsidP="009B48AF">
      <w:pPr>
        <w:rPr>
          <w:rFonts w:ascii="Arial" w:hAnsi="Arial" w:cs="Arial"/>
        </w:rPr>
      </w:pPr>
      <w:r w:rsidRPr="009B48AF">
        <w:rPr>
          <w:rFonts w:ascii="Arial" w:hAnsi="Arial" w:cs="Arial"/>
        </w:rPr>
        <w:t xml:space="preserve">This reflection provides a comprehensive account of my experience in the Research Methods and Professional Practice module, where I </w:t>
      </w:r>
      <w:proofErr w:type="spellStart"/>
      <w:r w:rsidRPr="009B48AF">
        <w:rPr>
          <w:rFonts w:ascii="Arial" w:hAnsi="Arial" w:cs="Arial"/>
        </w:rPr>
        <w:t>utilised</w:t>
      </w:r>
      <w:proofErr w:type="spellEnd"/>
      <w:r w:rsidRPr="009B48AF">
        <w:rPr>
          <w:rFonts w:ascii="Arial" w:hAnsi="Arial" w:cs="Arial"/>
        </w:rPr>
        <w:t xml:space="preserve"> Rolfe et al.'s (2001) What, So What, Now What model. This framework was similarly applied in my Secure Software Development reflection, demonstrating a consistent approach to my learning process. The module has remarkably transformed my role, changing me profoundly from merely a consumer of research as a Senior Site Reliability Engineer into an active producer of knowledge. This constitutes a significant and pivotal shift in my professional development. The two summative outputs that I completed</w:t>
      </w:r>
      <w:r>
        <w:rPr>
          <w:rFonts w:ascii="Arial" w:hAnsi="Arial" w:cs="Arial"/>
        </w:rPr>
        <w:t xml:space="preserve"> - </w:t>
      </w:r>
      <w:r w:rsidRPr="009B48AF">
        <w:rPr>
          <w:rFonts w:ascii="Arial" w:hAnsi="Arial" w:cs="Arial"/>
        </w:rPr>
        <w:t>a thorough literature review focusing on misinformation detection and a highly engaging research proposal presentation</w:t>
      </w:r>
      <w:r>
        <w:rPr>
          <w:rFonts w:ascii="Arial" w:hAnsi="Arial" w:cs="Arial"/>
        </w:rPr>
        <w:t xml:space="preserve"> - </w:t>
      </w:r>
      <w:r w:rsidRPr="009B48AF">
        <w:rPr>
          <w:rFonts w:ascii="Arial" w:hAnsi="Arial" w:cs="Arial"/>
        </w:rPr>
        <w:t>were critical elements of my learning journey. Furthermore, the Unit 8 and 9 statistics worksheets, along with the professional skills matrix, have solidified the foundations of this reflection and contributed substantially to my understanding of the research process in a practical context.</w:t>
      </w:r>
    </w:p>
    <w:p w14:paraId="6250BC55" w14:textId="77777777" w:rsidR="009B48AF" w:rsidRPr="009B48AF" w:rsidRDefault="009B48AF" w:rsidP="009B48AF">
      <w:pPr>
        <w:rPr>
          <w:rFonts w:ascii="Arial" w:hAnsi="Arial" w:cs="Arial"/>
        </w:rPr>
      </w:pPr>
      <w:r w:rsidRPr="009B48AF">
        <w:rPr>
          <w:rFonts w:ascii="Arial" w:hAnsi="Arial" w:cs="Arial"/>
        </w:rPr>
        <w:t>What?</w:t>
      </w:r>
    </w:p>
    <w:p w14:paraId="4E55F3F3" w14:textId="77777777" w:rsidR="009B48AF" w:rsidRPr="009B48AF" w:rsidRDefault="009B48AF" w:rsidP="009B48AF">
      <w:pPr>
        <w:rPr>
          <w:rFonts w:ascii="Arial" w:hAnsi="Arial" w:cs="Arial"/>
        </w:rPr>
      </w:pPr>
      <w:r w:rsidRPr="009B48AF">
        <w:rPr>
          <w:rFonts w:ascii="Arial" w:hAnsi="Arial" w:cs="Arial"/>
        </w:rPr>
        <w:t>The literature review, graded 62% (Merit), explored misinformation detection on social media through content, propagation, source-credibility, and hybrid approaches, framed by the EU AI Act and UK Online Safety Act. I conducted a PRISMA-aligned narrative search (Page et al., 2021) using ACM DL, IEEE Xplore, ACL Anthology, and Scopus. The research proposal presentation, graded 68% (Merit), outlined a hybrid detector design incorporating calibration, selective abstention, time-split, and cross-dataset robustness evaluation, with a governance mapping to ensure transparency and oversight.</w:t>
      </w:r>
    </w:p>
    <w:p w14:paraId="527CA0C5" w14:textId="77777777" w:rsidR="009B48AF" w:rsidRPr="009B48AF" w:rsidRDefault="009B48AF" w:rsidP="009B48AF">
      <w:pPr>
        <w:rPr>
          <w:rFonts w:ascii="Arial" w:hAnsi="Arial" w:cs="Arial"/>
        </w:rPr>
      </w:pPr>
      <w:r w:rsidRPr="009B48AF">
        <w:rPr>
          <w:rFonts w:ascii="Arial" w:hAnsi="Arial" w:cs="Arial"/>
        </w:rPr>
        <w:t>The statistics worksheets in Units 8 and 9 focused on summary measures, hypothesis testing, and frequency analysis based on Berenson et al. (2019). In the diet comparison, I calculated means, standard deviations, medians, quartiles, and IQRs for Diet A (mean 5.34 kg, SD 2.54) and Diet B (mean 3.71 kg, SD 2.77), finding Diet A more effective and consistent. I performed a paired two-sample t-test on filtration agents (</w:t>
      </w:r>
      <w:proofErr w:type="gramStart"/>
      <w:r w:rsidRPr="009B48AF">
        <w:rPr>
          <w:rFonts w:ascii="Arial" w:hAnsi="Arial" w:cs="Arial"/>
        </w:rPr>
        <w:t>t(</w:t>
      </w:r>
      <w:proofErr w:type="gramEnd"/>
      <w:r w:rsidRPr="009B48AF">
        <w:rPr>
          <w:rFonts w:ascii="Arial" w:hAnsi="Arial" w:cs="Arial"/>
        </w:rPr>
        <w:t>11) = −3.26, p ≈ 0.0076), rejecting the null hypothesis. An F-test for variance equality and a Welch t-test on income by sex were also conducted, revealing limitations of small-sample inference. I completed a professional skills matrix with a SWOT analysis and an action plan.</w:t>
      </w:r>
    </w:p>
    <w:p w14:paraId="12308A33" w14:textId="77777777" w:rsidR="009B48AF" w:rsidRPr="009B48AF" w:rsidRDefault="009B48AF" w:rsidP="009B48AF">
      <w:pPr>
        <w:rPr>
          <w:rFonts w:ascii="Arial" w:hAnsi="Arial" w:cs="Arial"/>
        </w:rPr>
      </w:pPr>
      <w:r w:rsidRPr="009B48AF">
        <w:rPr>
          <w:rFonts w:ascii="Arial" w:hAnsi="Arial" w:cs="Arial"/>
        </w:rPr>
        <w:t>So What?</w:t>
      </w:r>
    </w:p>
    <w:p w14:paraId="6B3277D4" w14:textId="77777777" w:rsidR="009B48AF" w:rsidRPr="009B48AF" w:rsidRDefault="009B48AF" w:rsidP="009B48AF">
      <w:pPr>
        <w:rPr>
          <w:rFonts w:ascii="Arial" w:hAnsi="Arial" w:cs="Arial"/>
        </w:rPr>
      </w:pPr>
      <w:r w:rsidRPr="009B48AF">
        <w:rPr>
          <w:rFonts w:ascii="Arial" w:hAnsi="Arial" w:cs="Arial"/>
        </w:rPr>
        <w:t xml:space="preserve">The literature review feedback was crucial for my module's improvement. The tutor pointed out that PRISMA was not clearly defined, the writing was fragmented, and I relied too much on less reputable sources instead of peer-reviewed articles. Most importantly, there was significant use of templated content, which diminished originality. This observation was uncomfortable but warranted. I had written sections in a generic, list-like style for safety, sacrificing my voice. My 62% grade indicated some understanding but lacked the required depth and theoretical framing, particularly in </w:t>
      </w:r>
      <w:r w:rsidRPr="009B48AF">
        <w:rPr>
          <w:rFonts w:ascii="Arial" w:hAnsi="Arial" w:cs="Arial"/>
        </w:rPr>
        <w:lastRenderedPageBreak/>
        <w:t>discussing temporal-shift and adversarial-LLM literature, which deserved more attention. Conversely, my research proposal received a higher score due to strong artefact and background analysis, but it was hindered by an underdeveloped methodology and the absence of a references slide, despite in-text citations. I rushed the methodology to meet slide limitations, an area that should have received more focus.</w:t>
      </w:r>
    </w:p>
    <w:p w14:paraId="0A2BEDCA" w14:textId="77777777" w:rsidR="009B48AF" w:rsidRPr="009B48AF" w:rsidRDefault="009B48AF" w:rsidP="009B48AF">
      <w:pPr>
        <w:rPr>
          <w:rFonts w:ascii="Arial" w:hAnsi="Arial" w:cs="Arial"/>
        </w:rPr>
      </w:pPr>
      <w:r w:rsidRPr="009B48AF">
        <w:rPr>
          <w:rFonts w:ascii="Arial" w:hAnsi="Arial" w:cs="Arial"/>
        </w:rPr>
        <w:t>The statistics work surprised me as an SRE. I handle monitoring metrics and latencies daily but typically focus on descriptive approaches. Conducting a paired t-test on filtration agents revealed I often claimed "the new build is faster" without proper comparison to the old build or checking variance assumptions. The F-test highlighted that production telemetry with thousands of points per minute differs vastly from a sample size of n = 3. The SWOT exercise revealed my gap was not in tools, but in critical statistical reasoning and the practice of pre-registering experiment tests.</w:t>
      </w:r>
    </w:p>
    <w:p w14:paraId="524E15E7" w14:textId="77777777" w:rsidR="009B48AF" w:rsidRPr="009B48AF" w:rsidRDefault="009B48AF" w:rsidP="009B48AF">
      <w:pPr>
        <w:rPr>
          <w:rFonts w:ascii="Arial" w:hAnsi="Arial" w:cs="Arial"/>
        </w:rPr>
      </w:pPr>
      <w:r w:rsidRPr="009B48AF">
        <w:rPr>
          <w:rFonts w:ascii="Arial" w:hAnsi="Arial" w:cs="Arial"/>
        </w:rPr>
        <w:t>The feedback cycle was more challenging than I anticipated. I'm familiar with code reviews, where corrections are minor and the test suite handles most issues before others see the patch. However, feedback about fragmented structure or reliance on templates demands deeper revisions and greater vulnerability. It pushed me to embrace my voice in academic writing and to critically evaluate the difference between coverage and synthesis.</w:t>
      </w:r>
    </w:p>
    <w:p w14:paraId="18AB2F9D" w14:textId="77777777" w:rsidR="009B48AF" w:rsidRPr="009B48AF" w:rsidRDefault="009B48AF" w:rsidP="009B48AF">
      <w:pPr>
        <w:rPr>
          <w:rFonts w:ascii="Arial" w:hAnsi="Arial" w:cs="Arial"/>
        </w:rPr>
      </w:pPr>
      <w:r w:rsidRPr="009B48AF">
        <w:rPr>
          <w:rFonts w:ascii="Arial" w:hAnsi="Arial" w:cs="Arial"/>
        </w:rPr>
        <w:t>Now What?</w:t>
      </w:r>
    </w:p>
    <w:p w14:paraId="7A4E54B3" w14:textId="77777777" w:rsidR="009B48AF" w:rsidRPr="009B48AF" w:rsidRDefault="009B48AF" w:rsidP="009B48AF">
      <w:pPr>
        <w:rPr>
          <w:rFonts w:ascii="Arial" w:hAnsi="Arial" w:cs="Arial"/>
        </w:rPr>
      </w:pPr>
      <w:r w:rsidRPr="009B48AF">
        <w:rPr>
          <w:rFonts w:ascii="Arial" w:hAnsi="Arial" w:cs="Arial"/>
        </w:rPr>
        <w:t xml:space="preserve">Three key changes will inform my MSc thesis on AI-driven misinformation and my professional practice. First, I will implement a fully documented PRISMA flow, complete with an explicit search log, defined inclusion and exclusion criteria, and a theoretical framework established before drafting any synthesis, </w:t>
      </w:r>
      <w:proofErr w:type="spellStart"/>
      <w:r w:rsidRPr="009B48AF">
        <w:rPr>
          <w:rFonts w:ascii="Arial" w:hAnsi="Arial" w:cs="Arial"/>
        </w:rPr>
        <w:t>prioritising</w:t>
      </w:r>
      <w:proofErr w:type="spellEnd"/>
      <w:r w:rsidRPr="009B48AF">
        <w:rPr>
          <w:rFonts w:ascii="Arial" w:hAnsi="Arial" w:cs="Arial"/>
        </w:rPr>
        <w:t xml:space="preserve"> structure as my tutor recommended. Second, I will shift from </w:t>
      </w:r>
      <w:proofErr w:type="spellStart"/>
      <w:r w:rsidRPr="009B48AF">
        <w:rPr>
          <w:rFonts w:ascii="Arial" w:hAnsi="Arial" w:cs="Arial"/>
        </w:rPr>
        <w:t>itemised</w:t>
      </w:r>
      <w:proofErr w:type="spellEnd"/>
      <w:r w:rsidRPr="009B48AF">
        <w:rPr>
          <w:rFonts w:ascii="Arial" w:hAnsi="Arial" w:cs="Arial"/>
        </w:rPr>
        <w:t xml:space="preserve"> drafting to writing paragraph-level prose in my own voice from the first draft, understanding that a slower start is more efficient than extensive revisions. Finally, I will </w:t>
      </w:r>
      <w:proofErr w:type="spellStart"/>
      <w:r w:rsidRPr="009B48AF">
        <w:rPr>
          <w:rFonts w:ascii="Arial" w:hAnsi="Arial" w:cs="Arial"/>
        </w:rPr>
        <w:t>formalise</w:t>
      </w:r>
      <w:proofErr w:type="spellEnd"/>
      <w:r w:rsidRPr="009B48AF">
        <w:rPr>
          <w:rFonts w:ascii="Arial" w:hAnsi="Arial" w:cs="Arial"/>
        </w:rPr>
        <w:t xml:space="preserve"> statistical methods for evaluating detectors or systems I develop, employing paired tests against baselines, 95% confidence intervals, calibration metrics like Expected Calibration Error, and time-split evaluations to meet the specific needs of misinformation models.</w:t>
      </w:r>
    </w:p>
    <w:p w14:paraId="2A145FD9" w14:textId="77777777" w:rsidR="009B48AF" w:rsidRPr="009B48AF" w:rsidRDefault="009B48AF" w:rsidP="009B48AF">
      <w:pPr>
        <w:rPr>
          <w:rFonts w:ascii="Arial" w:hAnsi="Arial" w:cs="Arial"/>
        </w:rPr>
      </w:pPr>
      <w:r w:rsidRPr="009B48AF">
        <w:rPr>
          <w:rFonts w:ascii="Arial" w:hAnsi="Arial" w:cs="Arial"/>
        </w:rPr>
        <w:t>The professional skills matrix and action plan will continue to exist as living documents that are regularly reviewed after the completion of each module to ensure ongoing reflection and evaluation. This module has successfully transformed me from simply being a competent technical reader to emerging as a more disciplined, self-aware researcher, thereby fulfilling all the specified objectives outlined in the brief.</w:t>
      </w:r>
    </w:p>
    <w:p w14:paraId="20A2E544" w14:textId="77777777" w:rsidR="009B48AF" w:rsidRDefault="009B48AF" w:rsidP="009B48AF">
      <w:pPr>
        <w:rPr>
          <w:rFonts w:ascii="Arial" w:hAnsi="Arial" w:cs="Arial"/>
        </w:rPr>
      </w:pPr>
    </w:p>
    <w:p w14:paraId="32C75569" w14:textId="0E48F9C6" w:rsidR="009B48AF" w:rsidRPr="009B48AF" w:rsidRDefault="009B48AF" w:rsidP="009B48AF">
      <w:pPr>
        <w:rPr>
          <w:rFonts w:ascii="Arial" w:hAnsi="Arial" w:cs="Arial"/>
        </w:rPr>
      </w:pPr>
      <w:r>
        <w:rPr>
          <w:rFonts w:ascii="Arial" w:hAnsi="Arial" w:cs="Arial"/>
        </w:rPr>
        <w:lastRenderedPageBreak/>
        <w:br/>
      </w:r>
      <w:r w:rsidRPr="009B48AF">
        <w:rPr>
          <w:rFonts w:ascii="Arial" w:hAnsi="Arial" w:cs="Arial"/>
        </w:rPr>
        <w:t>References</w:t>
      </w:r>
    </w:p>
    <w:p w14:paraId="24245C9C" w14:textId="77777777" w:rsidR="009B48AF" w:rsidRPr="009B48AF" w:rsidRDefault="009B48AF" w:rsidP="009B48AF">
      <w:pPr>
        <w:rPr>
          <w:rFonts w:ascii="Arial" w:hAnsi="Arial" w:cs="Arial"/>
        </w:rPr>
      </w:pPr>
      <w:r w:rsidRPr="009B48AF">
        <w:rPr>
          <w:rFonts w:ascii="Arial" w:hAnsi="Arial" w:cs="Arial"/>
        </w:rPr>
        <w:t xml:space="preserve">Berenson, M.L., Levine, D.M., Szabat, K.A. and Stephan, D.F. (2019) </w:t>
      </w:r>
      <w:r w:rsidRPr="009B48AF">
        <w:rPr>
          <w:rFonts w:ascii="Arial" w:hAnsi="Arial" w:cs="Arial"/>
          <w:i/>
          <w:iCs/>
        </w:rPr>
        <w:t>Basic Business Statistics: Concepts and Applications</w:t>
      </w:r>
      <w:r w:rsidRPr="009B48AF">
        <w:rPr>
          <w:rFonts w:ascii="Arial" w:hAnsi="Arial" w:cs="Arial"/>
        </w:rPr>
        <w:t xml:space="preserve">. 14th </w:t>
      </w:r>
      <w:proofErr w:type="spellStart"/>
      <w:r w:rsidRPr="009B48AF">
        <w:rPr>
          <w:rFonts w:ascii="Arial" w:hAnsi="Arial" w:cs="Arial"/>
        </w:rPr>
        <w:t>edn</w:t>
      </w:r>
      <w:proofErr w:type="spellEnd"/>
      <w:r w:rsidRPr="009B48AF">
        <w:rPr>
          <w:rFonts w:ascii="Arial" w:hAnsi="Arial" w:cs="Arial"/>
        </w:rPr>
        <w:t>. Harlow: Pearson.</w:t>
      </w:r>
    </w:p>
    <w:p w14:paraId="2201A0BE" w14:textId="77777777" w:rsidR="009B48AF" w:rsidRPr="009B48AF" w:rsidRDefault="009B48AF" w:rsidP="009B48AF">
      <w:pPr>
        <w:rPr>
          <w:rFonts w:ascii="Arial" w:hAnsi="Arial" w:cs="Arial"/>
        </w:rPr>
      </w:pPr>
      <w:r w:rsidRPr="009B48AF">
        <w:rPr>
          <w:rFonts w:ascii="Arial" w:hAnsi="Arial" w:cs="Arial"/>
        </w:rPr>
        <w:t xml:space="preserve">Guimarães, N., Figueira, Á. and </w:t>
      </w:r>
      <w:proofErr w:type="spellStart"/>
      <w:r w:rsidRPr="009B48AF">
        <w:rPr>
          <w:rFonts w:ascii="Arial" w:hAnsi="Arial" w:cs="Arial"/>
        </w:rPr>
        <w:t>Torgo</w:t>
      </w:r>
      <w:proofErr w:type="spellEnd"/>
      <w:r w:rsidRPr="009B48AF">
        <w:rPr>
          <w:rFonts w:ascii="Arial" w:hAnsi="Arial" w:cs="Arial"/>
        </w:rPr>
        <w:t xml:space="preserve">, L. (2021) 'Can fake news detection models maintain the performance through time? A longitudinal evaluation of Twitter publications', </w:t>
      </w:r>
      <w:r w:rsidRPr="009B48AF">
        <w:rPr>
          <w:rFonts w:ascii="Arial" w:hAnsi="Arial" w:cs="Arial"/>
          <w:i/>
          <w:iCs/>
        </w:rPr>
        <w:t>Mathematics</w:t>
      </w:r>
      <w:r w:rsidRPr="009B48AF">
        <w:rPr>
          <w:rFonts w:ascii="Arial" w:hAnsi="Arial" w:cs="Arial"/>
        </w:rPr>
        <w:t xml:space="preserve">, 9(22), 2988. Available at: </w:t>
      </w:r>
      <w:hyperlink r:id="rId4" w:history="1">
        <w:r w:rsidRPr="009B48AF">
          <w:rPr>
            <w:rStyle w:val="Hyperlink"/>
            <w:rFonts w:ascii="Arial" w:hAnsi="Arial" w:cs="Arial"/>
          </w:rPr>
          <w:t>https://doi.org/10.3390/math9222988</w:t>
        </w:r>
      </w:hyperlink>
    </w:p>
    <w:p w14:paraId="33806B39" w14:textId="0F932928" w:rsidR="009B48AF" w:rsidRPr="009B48AF" w:rsidRDefault="009B48AF" w:rsidP="009B48AF">
      <w:pPr>
        <w:rPr>
          <w:rFonts w:ascii="Arial" w:hAnsi="Arial" w:cs="Arial"/>
        </w:rPr>
      </w:pPr>
      <w:r w:rsidRPr="009B48AF">
        <w:rPr>
          <w:rFonts w:ascii="Arial" w:hAnsi="Arial" w:cs="Arial"/>
        </w:rPr>
        <w:t xml:space="preserve">Guo, C., Pleiss, G., Sun, Y. and Weinberger, K.Q. (2017) 'On calibration of modern neural networks', in </w:t>
      </w:r>
      <w:r w:rsidRPr="009B48AF">
        <w:rPr>
          <w:rFonts w:ascii="Arial" w:hAnsi="Arial" w:cs="Arial"/>
          <w:i/>
          <w:iCs/>
        </w:rPr>
        <w:t>Proceedings of the 34th International Conference on Machine Learning</w:t>
      </w:r>
      <w:r w:rsidRPr="009B48AF">
        <w:rPr>
          <w:rFonts w:ascii="Arial" w:hAnsi="Arial" w:cs="Arial"/>
        </w:rPr>
        <w:t xml:space="preserve">. PMLR 70, pp. 1321–1330. Available at: </w:t>
      </w:r>
      <w:hyperlink r:id="rId5" w:history="1">
        <w:r w:rsidRPr="009B48AF">
          <w:rPr>
            <w:rStyle w:val="Hyperlink"/>
            <w:rFonts w:ascii="Arial" w:hAnsi="Arial" w:cs="Arial"/>
          </w:rPr>
          <w:t>https://proceedings.mlr.pres</w:t>
        </w:r>
        <w:r w:rsidRPr="009B48AF">
          <w:rPr>
            <w:rStyle w:val="Hyperlink"/>
            <w:rFonts w:ascii="Arial" w:hAnsi="Arial" w:cs="Arial"/>
          </w:rPr>
          <w:t>s/v70/guo17a.html</w:t>
        </w:r>
      </w:hyperlink>
      <w:r w:rsidRPr="009B48AF">
        <w:rPr>
          <w:rFonts w:ascii="Arial" w:hAnsi="Arial" w:cs="Arial"/>
        </w:rPr>
        <w:t xml:space="preserve"> (Accessed: </w:t>
      </w:r>
      <w:r>
        <w:rPr>
          <w:rFonts w:ascii="Arial" w:hAnsi="Arial" w:cs="Arial"/>
        </w:rPr>
        <w:t>1</w:t>
      </w:r>
      <w:r w:rsidRPr="009B48AF">
        <w:rPr>
          <w:rFonts w:ascii="Arial" w:hAnsi="Arial" w:cs="Arial"/>
        </w:rPr>
        <w:t>7 April 2026).</w:t>
      </w:r>
    </w:p>
    <w:p w14:paraId="609E2726" w14:textId="77777777" w:rsidR="009B48AF" w:rsidRPr="009B48AF" w:rsidRDefault="009B48AF" w:rsidP="009B48AF">
      <w:pPr>
        <w:rPr>
          <w:rFonts w:ascii="Arial" w:hAnsi="Arial" w:cs="Arial"/>
        </w:rPr>
      </w:pPr>
      <w:r w:rsidRPr="009B48AF">
        <w:rPr>
          <w:rFonts w:ascii="Arial" w:hAnsi="Arial" w:cs="Arial"/>
        </w:rPr>
        <w:t xml:space="preserve">Page, M.J., McKenzie, J.E., Bossuyt, P.M., </w:t>
      </w:r>
      <w:proofErr w:type="spellStart"/>
      <w:r w:rsidRPr="009B48AF">
        <w:rPr>
          <w:rFonts w:ascii="Arial" w:hAnsi="Arial" w:cs="Arial"/>
        </w:rPr>
        <w:t>Boutron</w:t>
      </w:r>
      <w:proofErr w:type="spellEnd"/>
      <w:r w:rsidRPr="009B48AF">
        <w:rPr>
          <w:rFonts w:ascii="Arial" w:hAnsi="Arial" w:cs="Arial"/>
        </w:rPr>
        <w:t xml:space="preserve">, I., Hoffmann, T.C., Mulrow, C.D., </w:t>
      </w:r>
      <w:proofErr w:type="spellStart"/>
      <w:r w:rsidRPr="009B48AF">
        <w:rPr>
          <w:rFonts w:ascii="Arial" w:hAnsi="Arial" w:cs="Arial"/>
        </w:rPr>
        <w:t>Shamseer</w:t>
      </w:r>
      <w:proofErr w:type="spellEnd"/>
      <w:r w:rsidRPr="009B48AF">
        <w:rPr>
          <w:rFonts w:ascii="Arial" w:hAnsi="Arial" w:cs="Arial"/>
        </w:rPr>
        <w:t xml:space="preserve">, L., Tetzlaff, J.M., Akl, E.A., Brennan, S.E., Chou, R., Glanville, J., Grimshaw, J.M., Hróbjartsson, A., Lalu, M.M., Li, T., Loder, E.W., Mayo-Wilson, E., McDonald, S., McGuinness, L.A., Stewart, L.A., Thomas, J., </w:t>
      </w:r>
      <w:proofErr w:type="spellStart"/>
      <w:r w:rsidRPr="009B48AF">
        <w:rPr>
          <w:rFonts w:ascii="Arial" w:hAnsi="Arial" w:cs="Arial"/>
        </w:rPr>
        <w:t>Tricco</w:t>
      </w:r>
      <w:proofErr w:type="spellEnd"/>
      <w:r w:rsidRPr="009B48AF">
        <w:rPr>
          <w:rFonts w:ascii="Arial" w:hAnsi="Arial" w:cs="Arial"/>
        </w:rPr>
        <w:t xml:space="preserve">, A.C., Welch, V.A., Whiting, P. and Moher, D. (2021) 'The PRISMA 2020 statement: an updated guideline for reporting systematic reviews', </w:t>
      </w:r>
      <w:r w:rsidRPr="009B48AF">
        <w:rPr>
          <w:rFonts w:ascii="Arial" w:hAnsi="Arial" w:cs="Arial"/>
          <w:i/>
          <w:iCs/>
        </w:rPr>
        <w:t>BMJ</w:t>
      </w:r>
      <w:r w:rsidRPr="009B48AF">
        <w:rPr>
          <w:rFonts w:ascii="Arial" w:hAnsi="Arial" w:cs="Arial"/>
        </w:rPr>
        <w:t xml:space="preserve">, 372, n71. Available at: </w:t>
      </w:r>
      <w:hyperlink r:id="rId6" w:history="1">
        <w:r w:rsidRPr="009B48AF">
          <w:rPr>
            <w:rStyle w:val="Hyperlink"/>
            <w:rFonts w:ascii="Arial" w:hAnsi="Arial" w:cs="Arial"/>
          </w:rPr>
          <w:t>https://doi.org/10.1136/bmj.n71</w:t>
        </w:r>
      </w:hyperlink>
    </w:p>
    <w:p w14:paraId="2E50B48C" w14:textId="77777777" w:rsidR="009B48AF" w:rsidRPr="009B48AF" w:rsidRDefault="009B48AF" w:rsidP="009B48AF">
      <w:pPr>
        <w:rPr>
          <w:rFonts w:ascii="Arial" w:hAnsi="Arial" w:cs="Arial"/>
        </w:rPr>
      </w:pPr>
      <w:r w:rsidRPr="009B48AF">
        <w:rPr>
          <w:rFonts w:ascii="Arial" w:hAnsi="Arial" w:cs="Arial"/>
        </w:rPr>
        <w:t xml:space="preserve">Rolfe, G., Freshwater, D. and Jasper, M. (2001) </w:t>
      </w:r>
      <w:r w:rsidRPr="009B48AF">
        <w:rPr>
          <w:rFonts w:ascii="Arial" w:hAnsi="Arial" w:cs="Arial"/>
          <w:i/>
          <w:iCs/>
        </w:rPr>
        <w:t>Critical Reflection in Nursing and the Helping Professions: A User's Guide</w:t>
      </w:r>
      <w:r w:rsidRPr="009B48AF">
        <w:rPr>
          <w:rFonts w:ascii="Arial" w:hAnsi="Arial" w:cs="Arial"/>
        </w:rPr>
        <w:t>. Basingstoke: Palgrave Macmillan.</w:t>
      </w:r>
    </w:p>
    <w:p w14:paraId="692B2D3B" w14:textId="38EC5BE0" w:rsidR="009B48AF" w:rsidRPr="009B48AF" w:rsidRDefault="009B48AF" w:rsidP="009B48AF">
      <w:pPr>
        <w:rPr>
          <w:rFonts w:ascii="Arial" w:hAnsi="Arial" w:cs="Arial"/>
        </w:rPr>
      </w:pPr>
      <w:r w:rsidRPr="009B48AF">
        <w:rPr>
          <w:rFonts w:ascii="Arial" w:hAnsi="Arial" w:cs="Arial"/>
        </w:rPr>
        <w:t xml:space="preserve">The University of Edinburgh (no date) </w:t>
      </w:r>
      <w:r w:rsidRPr="009B48AF">
        <w:rPr>
          <w:rFonts w:ascii="Arial" w:hAnsi="Arial" w:cs="Arial"/>
          <w:i/>
          <w:iCs/>
        </w:rPr>
        <w:t>Reflection Toolkit</w:t>
      </w:r>
      <w:r w:rsidRPr="009B48AF">
        <w:rPr>
          <w:rFonts w:ascii="Arial" w:hAnsi="Arial" w:cs="Arial"/>
        </w:rPr>
        <w:t xml:space="preserve">. Available at: </w:t>
      </w:r>
      <w:hyperlink r:id="rId7" w:history="1">
        <w:r w:rsidRPr="009B48AF">
          <w:rPr>
            <w:rStyle w:val="Hyperlink"/>
            <w:rFonts w:ascii="Arial" w:hAnsi="Arial" w:cs="Arial"/>
          </w:rPr>
          <w:t>https://www.ed.ac.uk/reflection-toolkit</w:t>
        </w:r>
      </w:hyperlink>
      <w:r w:rsidRPr="009B48AF">
        <w:rPr>
          <w:rFonts w:ascii="Arial" w:hAnsi="Arial" w:cs="Arial"/>
        </w:rPr>
        <w:t xml:space="preserve"> (Accessed: </w:t>
      </w:r>
      <w:r>
        <w:rPr>
          <w:rFonts w:ascii="Arial" w:hAnsi="Arial" w:cs="Arial"/>
        </w:rPr>
        <w:t>18</w:t>
      </w:r>
      <w:r w:rsidRPr="009B48AF">
        <w:rPr>
          <w:rFonts w:ascii="Arial" w:hAnsi="Arial" w:cs="Arial"/>
        </w:rPr>
        <w:t xml:space="preserve"> April 2026).</w:t>
      </w:r>
    </w:p>
    <w:p w14:paraId="69643E52" w14:textId="3873307D" w:rsidR="00136091" w:rsidRPr="009B48AF" w:rsidRDefault="00136091">
      <w:pPr>
        <w:rPr>
          <w:rFonts w:ascii="Arial" w:hAnsi="Arial" w:cs="Arial"/>
        </w:rPr>
      </w:pPr>
    </w:p>
    <w:sectPr w:rsidR="00136091" w:rsidRPr="009B48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614"/>
    <w:rsid w:val="00136091"/>
    <w:rsid w:val="00863F01"/>
    <w:rsid w:val="009B48AF"/>
    <w:rsid w:val="00B73614"/>
    <w:rsid w:val="00EE6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AD2B"/>
  <w15:chartTrackingRefBased/>
  <w15:docId w15:val="{DA5F394D-13BF-4087-9BBD-56388BD5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8AF"/>
    <w:rPr>
      <w:color w:val="467886" w:themeColor="hyperlink"/>
      <w:u w:val="single"/>
    </w:rPr>
  </w:style>
  <w:style w:type="character" w:styleId="UnresolvedMention">
    <w:name w:val="Unresolved Mention"/>
    <w:basedOn w:val="DefaultParagraphFont"/>
    <w:uiPriority w:val="99"/>
    <w:semiHidden/>
    <w:unhideWhenUsed/>
    <w:rsid w:val="009B48AF"/>
    <w:rPr>
      <w:color w:val="605E5C"/>
      <w:shd w:val="clear" w:color="auto" w:fill="E1DFDD"/>
    </w:rPr>
  </w:style>
  <w:style w:type="character" w:styleId="FollowedHyperlink">
    <w:name w:val="FollowedHyperlink"/>
    <w:basedOn w:val="DefaultParagraphFont"/>
    <w:uiPriority w:val="99"/>
    <w:semiHidden/>
    <w:unhideWhenUsed/>
    <w:rsid w:val="009B48A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d.ac.uk/reflection-toolk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36/bmj.n71" TargetMode="External"/><Relationship Id="rId5" Type="http://schemas.openxmlformats.org/officeDocument/2006/relationships/hyperlink" Target="https://proceedings.mlr.press/v70/guo17a.html" TargetMode="External"/><Relationship Id="rId4" Type="http://schemas.openxmlformats.org/officeDocument/2006/relationships/hyperlink" Target="https://doi.org/10.3390/math922298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1101</Words>
  <Characters>6280</Characters>
  <Application>Microsoft Office Word</Application>
  <DocSecurity>0</DocSecurity>
  <Lines>52</Lines>
  <Paragraphs>14</Paragraphs>
  <ScaleCrop>false</ScaleCrop>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neno</dc:creator>
  <cp:keywords/>
  <dc:description/>
  <cp:lastModifiedBy>neno</cp:lastModifiedBy>
  <cp:revision>2</cp:revision>
  <dcterms:created xsi:type="dcterms:W3CDTF">2026-04-27T17:49:00Z</dcterms:created>
  <dcterms:modified xsi:type="dcterms:W3CDTF">2026-04-27T17:53:00Z</dcterms:modified>
</cp:coreProperties>
</file>